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Body"/>
        <w:bidi w:val="0"/>
        <w:spacing w:before="113" w:after="113"/>
        <w:ind w:left="113" w:right="113" w:hanging="0"/>
        <w:jc w:val="left"/>
        <w:rPr>
          <w:highlight w:val="lightGray"/>
        </w:rPr>
      </w:pPr>
      <w:r>
        <w:rPr>
          <w:highlight w:val="lightGray"/>
        </w:rPr>
        <w:t>Files\\Denver Post_2012_06_Insurance claims begin to pour in - § 2 references coded [ 7.24% Coverage]</w:t>
      </w:r>
    </w:p>
    <w:p>
      <w:pPr>
        <w:pStyle w:val="TextBody"/>
        <w:bidi w:val="0"/>
        <w:spacing w:before="113" w:after="113"/>
        <w:ind w:left="113" w:right="113" w:hanging="0"/>
        <w:jc w:val="left"/>
        <w:rPr>
          <w:highlight w:val="lightGray"/>
        </w:rPr>
      </w:pPr>
      <w:r>
        <w:rPr>
          <w:highlight w:val="lightGray"/>
        </w:rPr>
        <w:t>Reference 1 - 2.04% Coverage</w:t>
      </w:r>
    </w:p>
    <w:p>
      <w:pPr>
        <w:pStyle w:val="TextBody"/>
        <w:bidi w:val="0"/>
        <w:spacing w:before="0" w:after="0"/>
        <w:jc w:val="left"/>
        <w:rPr/>
      </w:pPr>
      <w:r>
        <w:rPr/>
        <w:t>State Farm said Tuesday that it has received about 60 claims for complete structural losses among the confirmed 189 buildings destroyed by the fire.</w:t>
      </w:r>
    </w:p>
    <w:p>
      <w:pPr>
        <w:pStyle w:val="TextBody"/>
        <w:bidi w:val="0"/>
        <w:spacing w:before="113" w:after="113"/>
        <w:ind w:left="113" w:right="113" w:hanging="0"/>
        <w:jc w:val="left"/>
        <w:rPr>
          <w:highlight w:val="lightGray"/>
        </w:rPr>
      </w:pPr>
      <w:r>
        <w:rPr>
          <w:highlight w:val="lightGray"/>
        </w:rPr>
        <w:t>Reference 2 - 5.20% Coverage</w:t>
      </w:r>
    </w:p>
    <w:p>
      <w:pPr>
        <w:pStyle w:val="TextBody"/>
        <w:bidi w:val="0"/>
        <w:spacing w:before="0" w:after="0"/>
        <w:jc w:val="left"/>
        <w:rPr/>
      </w:pPr>
      <w:r>
        <w:rPr/>
        <w:t xml:space="preserve">Unlike California, which requires homeowners to reduce or eliminate flammable materials and vegetation within 100 feet of their homes, Colorado has no similar defensible-space law. However, property insurers can mandate the space as a condition of issuing policies. </w:t>
        <w:br/>
        <w:t>"Brush clearance is No. 1 when it comes to being prepared," said Farmers Insurance spokesman Jerry Davies.</w:t>
      </w:r>
    </w:p>
    <w:sectPr>
      <w:type w:val="nextPage"/>
      <w:pgSz w:w="12240" w:h="15840"/>
      <w:pgMar w:left="1134" w:right="567" w:header="0" w:top="567" w:footer="0" w:bottom="567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Liberation Serif" w:hAnsi="Liberation Serif" w:eastAsia="SimSun" w:cs="Lucida Sans"/>
      <w:color w:val="auto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LibreOffice/6.4.7.2$MacOSX_X86_64 LibreOffice_project/639b8ac485750d5696d7590a72ef1b496725cfb5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